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Звіт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періодичного відстеження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результативності рішення Покровської міської ради від 31.05.2019 №7 «Про затвердження Порядку розміщення тимчасових споруд для провадження підприємницької діяльності в м. Покров у новій редакції»</w:t>
      </w:r>
    </w:p>
    <w:p>
      <w:pPr>
        <w:pStyle w:val="NoSpacing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Створено: 2023-04-30 </w:t>
      </w:r>
    </w:p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Вид та назва регуляторного акта, результативність якого відстежується: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рішення Покровської міської ради від 31.05.2019 №7 «Про затвердження Порядку розміщення тимчасових споруд для провадження підприємницької діяльності в м. Покров у новій редакції».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Назва виконавця заходів з відстеження: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відділ архітектури та інспекції ДАБК виконавчого комітету Покровської міської ради.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Цілі прийняття акта: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впорядкування розміщення тимчасових споруд, забезпечення належного утримання тимчасових споруд та об’єктів благоустрою міста,.</w:t>
      </w:r>
    </w:p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Строк виконання заходів з відстеження: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01.04.2023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по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2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4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.04.2023</w:t>
      </w:r>
      <w:r>
        <w:rPr>
          <w:rFonts w:cs="Times New Roman" w:ascii="Times New Roman" w:hAnsi="Times New Roman"/>
          <w:color w:val="000000"/>
          <w:sz w:val="28"/>
          <w:szCs w:val="28"/>
        </w:rPr>
        <w:t>.</w:t>
      </w:r>
    </w:p>
    <w:p>
      <w:pPr>
        <w:pStyle w:val="NoSpacing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cs="Times New Roman" w:ascii="Times New Roman" w:hAnsi="Times New Roman"/>
          <w:color w:val="000000"/>
          <w:sz w:val="16"/>
          <w:szCs w:val="16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Тип відстеження:</w:t>
      </w:r>
      <w:r>
        <w:rPr>
          <w:rFonts w:cs="Times New Roman" w:ascii="Times New Roman" w:hAnsi="Times New Roman"/>
          <w:sz w:val="28"/>
          <w:szCs w:val="28"/>
        </w:rPr>
        <w:t xml:space="preserve"> періодичне.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 одержання результатів відстеження:</w:t>
      </w:r>
      <w:r>
        <w:rPr>
          <w:rFonts w:cs="Times New Roman" w:ascii="Times New Roman" w:hAnsi="Times New Roman"/>
          <w:sz w:val="28"/>
          <w:szCs w:val="28"/>
        </w:rPr>
        <w:t xml:space="preserve"> відстеження результативності регуляторного акта здійснено на підставі </w:t>
      </w:r>
      <w:r>
        <w:rPr>
          <w:rFonts w:cs="Times New Roman" w:ascii="Times New Roman" w:hAnsi="Times New Roman"/>
          <w:sz w:val="28"/>
          <w:szCs w:val="28"/>
          <w:lang w:val="uk-UA"/>
        </w:rPr>
        <w:t>статистичних даних.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Дані та припущення, на основі яких відстежувалася результативність,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 також спосіб одержання даних:</w:t>
      </w:r>
      <w:r>
        <w:rPr>
          <w:rFonts w:cs="Times New Roman" w:ascii="Times New Roman" w:hAnsi="Times New Roman"/>
          <w:sz w:val="28"/>
          <w:szCs w:val="28"/>
        </w:rPr>
        <w:t xml:space="preserve"> відстеження результативності даного регуляторного акта здійснювалось шляхом аналізу статистичних та якісних показників визначених в аналізі регуляторного впливу. 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Кількісні та якісні значення показників результативності акта:</w:t>
      </w:r>
      <w:r>
        <w:rPr>
          <w:rFonts w:cs="Times New Roman" w:ascii="Times New Roman" w:hAnsi="Times New Roman"/>
          <w:sz w:val="28"/>
          <w:szCs w:val="28"/>
        </w:rPr>
        <w:t xml:space="preserve"> для систематизації одержаних кількісних показників результативності за період 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2018, </w:t>
      </w:r>
      <w:r>
        <w:rPr>
          <w:rFonts w:cs="Times New Roman" w:ascii="Times New Roman" w:hAnsi="Times New Roman"/>
          <w:sz w:val="28"/>
          <w:szCs w:val="28"/>
        </w:rPr>
        <w:t>2019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,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2020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, 2021, 2022, І квартал 2023року  </w:t>
      </w:r>
      <w:r>
        <w:rPr>
          <w:rFonts w:cs="Times New Roman" w:ascii="Times New Roman" w:hAnsi="Times New Roman"/>
          <w:sz w:val="28"/>
          <w:szCs w:val="28"/>
        </w:rPr>
        <w:t>їх значення занесені в таблицю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Кількісні показники:</w:t>
      </w:r>
    </w:p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tbl>
      <w:tblPr>
        <w:tblStyle w:val="a4"/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3"/>
        <w:gridCol w:w="3616"/>
        <w:gridCol w:w="1470"/>
        <w:gridCol w:w="1921"/>
        <w:gridCol w:w="1924"/>
      </w:tblGrid>
      <w:tr>
        <w:trPr>
          <w:trHeight w:val="1392" w:hRule="atLeast"/>
        </w:trPr>
        <w:tc>
          <w:tcPr>
            <w:tcW w:w="533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з/р</w:t>
            </w:r>
          </w:p>
        </w:tc>
        <w:tc>
          <w:tcPr>
            <w:tcW w:w="3616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Показник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uk-UA"/>
              </w:rPr>
            </w:r>
          </w:p>
        </w:tc>
        <w:tc>
          <w:tcPr>
            <w:tcW w:w="1470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2018</w:t>
            </w:r>
          </w:p>
        </w:tc>
        <w:tc>
          <w:tcPr>
            <w:tcW w:w="1921" w:type="dxa"/>
            <w:tcBorders>
              <w:right w:val="nil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2019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та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 xml:space="preserve">I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 xml:space="preserve">квартал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>2020</w:t>
            </w:r>
          </w:p>
        </w:tc>
        <w:tc>
          <w:tcPr>
            <w:tcW w:w="1924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kern w:val="0"/>
                <w:sz w:val="26"/>
                <w:szCs w:val="26"/>
                <w:lang w:val="uk-UA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ІІ-І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en-US" w:eastAsia="en-US" w:bidi="ar-SA"/>
              </w:rPr>
              <w:t xml:space="preserve">V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квартал 2020, 2021, 2022, І квартал 2023</w:t>
            </w:r>
          </w:p>
        </w:tc>
      </w:tr>
      <w:tr>
        <w:trPr/>
        <w:tc>
          <w:tcPr>
            <w:tcW w:w="533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1</w:t>
            </w:r>
          </w:p>
        </w:tc>
        <w:tc>
          <w:tcPr>
            <w:tcW w:w="3616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Надано паспортів прив’язки ТС (одиниць)</w:t>
            </w:r>
          </w:p>
        </w:tc>
        <w:tc>
          <w:tcPr>
            <w:tcW w:w="1470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8</w:t>
            </w:r>
          </w:p>
        </w:tc>
        <w:tc>
          <w:tcPr>
            <w:tcW w:w="1921" w:type="dxa"/>
            <w:tcBorders>
              <w:right w:val="nil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15</w:t>
            </w:r>
          </w:p>
        </w:tc>
        <w:tc>
          <w:tcPr>
            <w:tcW w:w="1924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  <w:lang w:val="uk-UA"/>
              </w:rPr>
              <w:t>33</w:t>
            </w:r>
          </w:p>
        </w:tc>
      </w:tr>
      <w:tr>
        <w:trPr/>
        <w:tc>
          <w:tcPr>
            <w:tcW w:w="533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2</w:t>
            </w:r>
          </w:p>
        </w:tc>
        <w:tc>
          <w:tcPr>
            <w:tcW w:w="3616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Продовжено термін дії паспортів прив’язки ТС (одиниць)</w:t>
            </w:r>
          </w:p>
        </w:tc>
        <w:tc>
          <w:tcPr>
            <w:tcW w:w="1470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30</w:t>
            </w:r>
          </w:p>
        </w:tc>
        <w:tc>
          <w:tcPr>
            <w:tcW w:w="1921" w:type="dxa"/>
            <w:tcBorders>
              <w:right w:val="nil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72</w:t>
            </w:r>
          </w:p>
        </w:tc>
        <w:tc>
          <w:tcPr>
            <w:tcW w:w="1924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  <w:lang w:val="uk-UA"/>
              </w:rPr>
              <w:t>118</w:t>
            </w:r>
          </w:p>
        </w:tc>
      </w:tr>
      <w:tr>
        <w:trPr/>
        <w:tc>
          <w:tcPr>
            <w:tcW w:w="533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3</w:t>
            </w:r>
          </w:p>
        </w:tc>
        <w:tc>
          <w:tcPr>
            <w:tcW w:w="3616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Розмір надходжень за користування місцем розміщення ТС до міського бюджету (грн.)</w:t>
            </w:r>
          </w:p>
        </w:tc>
        <w:tc>
          <w:tcPr>
            <w:tcW w:w="1470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506272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,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32</w:t>
            </w:r>
          </w:p>
        </w:tc>
        <w:tc>
          <w:tcPr>
            <w:tcW w:w="1921" w:type="dxa"/>
            <w:tcBorders>
              <w:right w:val="nil"/>
            </w:tcBorders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670758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,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uk-UA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4</w:t>
            </w:r>
          </w:p>
        </w:tc>
        <w:tc>
          <w:tcPr>
            <w:tcW w:w="1924" w:type="dxa"/>
            <w:tcBorders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  <w:lang w:val="uk-UA"/>
              </w:rPr>
              <w:t>2058673,00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Якісні показники:</w:t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- високий рівень поінформованості суб’єктів господарювання з основними положеннями акта (рішення Покровської міської ради від 31.05.2019 №7 «Про затвердження Порядку розміщення тимчасових споруд для провадження підприємницької діяльності в м. Покров у новій редакції»» оприлюднено у повному обсязі на офіційному сайті Покровської міської ради </w:t>
      </w:r>
      <w:r>
        <w:rPr>
          <w:rFonts w:cs="Times New Roman" w:ascii="Times New Roman" w:hAnsi="Times New Roman"/>
          <w:sz w:val="28"/>
          <w:szCs w:val="28"/>
        </w:rPr>
        <w:t>https</w:t>
      </w:r>
      <w:r>
        <w:rPr>
          <w:rFonts w:cs="Times New Roman" w:ascii="Times New Roman" w:hAnsi="Times New Roman"/>
          <w:sz w:val="28"/>
          <w:szCs w:val="28"/>
          <w:lang w:val="uk-UA"/>
        </w:rPr>
        <w:t>://</w:t>
      </w:r>
      <w:r>
        <w:rPr>
          <w:rFonts w:cs="Times New Roman" w:ascii="Times New Roman" w:hAnsi="Times New Roman"/>
          <w:sz w:val="28"/>
          <w:szCs w:val="28"/>
        </w:rPr>
        <w:t>pkrv</w:t>
      </w:r>
      <w:r>
        <w:rPr>
          <w:rFonts w:cs="Times New Roman" w:ascii="Times New Roman" w:hAnsi="Times New Roman"/>
          <w:sz w:val="28"/>
          <w:szCs w:val="28"/>
          <w:lang w:val="uk-UA"/>
        </w:rPr>
        <w:t>.</w:t>
      </w:r>
      <w:r>
        <w:rPr>
          <w:rFonts w:cs="Times New Roman" w:ascii="Times New Roman" w:hAnsi="Times New Roman"/>
          <w:sz w:val="28"/>
          <w:szCs w:val="28"/>
        </w:rPr>
        <w:t>dp</w:t>
      </w:r>
      <w:r>
        <w:rPr>
          <w:rFonts w:cs="Times New Roman" w:ascii="Times New Roman" w:hAnsi="Times New Roman"/>
          <w:sz w:val="28"/>
          <w:szCs w:val="28"/>
          <w:lang w:val="uk-UA"/>
        </w:rPr>
        <w:t>.</w:t>
      </w:r>
      <w:r>
        <w:rPr>
          <w:rFonts w:cs="Times New Roman" w:ascii="Times New Roman" w:hAnsi="Times New Roman"/>
          <w:sz w:val="28"/>
          <w:szCs w:val="28"/>
        </w:rPr>
        <w:t>gov</w:t>
      </w:r>
      <w:r>
        <w:rPr>
          <w:rFonts w:cs="Times New Roman" w:ascii="Times New Roman" w:hAnsi="Times New Roman"/>
          <w:sz w:val="28"/>
          <w:szCs w:val="28"/>
          <w:lang w:val="uk-UA"/>
        </w:rPr>
        <w:t>.</w:t>
      </w:r>
      <w:r>
        <w:rPr>
          <w:rFonts w:cs="Times New Roman" w:ascii="Times New Roman" w:hAnsi="Times New Roman"/>
          <w:sz w:val="28"/>
          <w:szCs w:val="28"/>
        </w:rPr>
        <w:t>ua</w:t>
      </w:r>
      <w:r>
        <w:rPr>
          <w:rFonts w:cs="Times New Roman" w:ascii="Times New Roman" w:hAnsi="Times New Roman"/>
          <w:sz w:val="28"/>
          <w:szCs w:val="28"/>
          <w:lang w:val="uk-UA"/>
        </w:rPr>
        <w:t>;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- попередження випадків розташування тимчасових споруд з відхиленням від паспортів прив’язки тимчасових споруд, відсутності чинного паспорту прив’язки, чинних документів на право користування земельною ділянкою;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- покращення якості стану благоустрою міста та підвищення зручності громадських просторів загального користування шляхом ефективного використанням ресурсів територіальної громади, підвищення свідомості та відповідальності суб’єктів підприємницької діяльності.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cs="Times New Roman" w:ascii="Times New Roman" w:hAnsi="Times New Roman"/>
          <w:sz w:val="16"/>
          <w:szCs w:val="16"/>
          <w:lang w:val="uk-UA"/>
        </w:rPr>
      </w:r>
    </w:p>
    <w:p>
      <w:pPr>
        <w:pStyle w:val="NoSpacing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Наведені показники будуть використані в якості джерела порівняльних даних для результативності даного регуляторного акта під час здійснення періодичного відстеження його результативності у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2026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році.</w:t>
      </w:r>
    </w:p>
    <w:p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Оцінка результатів реалізації регуляторного акта та ступеня досягнення цілей: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Наведені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вище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показники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результативності даного регуляторного акта свідчать, що уповноваженим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робочим органом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забезпечується поетапна реалізація основних положень рішення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 xml:space="preserve">Покровської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міської ради від 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31</w:t>
      </w:r>
      <w:r>
        <w:rPr>
          <w:rFonts w:cs="Times New Roman" w:ascii="Times New Roman" w:hAnsi="Times New Roman"/>
          <w:color w:val="000000"/>
          <w:sz w:val="28"/>
          <w:szCs w:val="28"/>
        </w:rPr>
        <w:t>.0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5</w:t>
      </w:r>
      <w:r>
        <w:rPr>
          <w:rFonts w:cs="Times New Roman" w:ascii="Times New Roman" w:hAnsi="Times New Roman"/>
          <w:color w:val="000000"/>
          <w:sz w:val="28"/>
          <w:szCs w:val="28"/>
        </w:rPr>
        <w:t>.201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9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№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 xml:space="preserve">7 </w:t>
      </w:r>
      <w:r>
        <w:rPr>
          <w:rFonts w:cs="Times New Roman" w:ascii="Times New Roman" w:hAnsi="Times New Roman"/>
          <w:color w:val="000000"/>
          <w:sz w:val="28"/>
          <w:szCs w:val="28"/>
        </w:rPr>
        <w:t>(</w:t>
      </w: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у новій редакції</w:t>
      </w:r>
      <w:r>
        <w:rPr>
          <w:rFonts w:cs="Times New Roman" w:ascii="Times New Roman" w:hAnsi="Times New Roman"/>
          <w:color w:val="000000"/>
          <w:sz w:val="28"/>
          <w:szCs w:val="28"/>
        </w:rPr>
        <w:t>), зазначений регуляторний акт має достатній рівень досягнення визначених цілей.</w:t>
      </w:r>
    </w:p>
    <w:p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Висновок: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uk-UA"/>
        </w:rPr>
        <w:t>щ</w:t>
      </w:r>
      <w:r>
        <w:rPr>
          <w:rFonts w:cs="Times New Roman" w:ascii="Times New Roman" w:hAnsi="Times New Roman"/>
          <w:sz w:val="28"/>
          <w:szCs w:val="28"/>
        </w:rPr>
        <w:t xml:space="preserve">одо відповідності даного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рішення до законодавства про захист економічної конкуренції, вважаємо, що всі суб’єкти господарювання на яких поширю</w:t>
      </w:r>
      <w:r>
        <w:rPr>
          <w:rFonts w:cs="Times New Roman" w:ascii="Times New Roman" w:hAnsi="Times New Roman"/>
          <w:sz w:val="28"/>
          <w:szCs w:val="28"/>
          <w:lang w:val="uk-UA"/>
        </w:rPr>
        <w:t>ється</w:t>
      </w:r>
      <w:r>
        <w:rPr>
          <w:rFonts w:cs="Times New Roman" w:ascii="Times New Roman" w:hAnsi="Times New Roman"/>
          <w:sz w:val="28"/>
          <w:szCs w:val="28"/>
        </w:rPr>
        <w:t xml:space="preserve"> дія регуляторного акта перебува</w:t>
      </w:r>
      <w:r>
        <w:rPr>
          <w:rFonts w:cs="Times New Roman" w:ascii="Times New Roman" w:hAnsi="Times New Roman"/>
          <w:sz w:val="28"/>
          <w:szCs w:val="28"/>
          <w:lang w:val="uk-UA"/>
        </w:rPr>
        <w:t>ю</w:t>
      </w:r>
      <w:r>
        <w:rPr>
          <w:rFonts w:cs="Times New Roman" w:ascii="Times New Roman" w:hAnsi="Times New Roman"/>
          <w:sz w:val="28"/>
          <w:szCs w:val="28"/>
        </w:rPr>
        <w:t>ть в однакових умовах, які забезпеч</w:t>
      </w:r>
      <w:r>
        <w:rPr>
          <w:rFonts w:cs="Times New Roman" w:ascii="Times New Roman" w:hAnsi="Times New Roman"/>
          <w:sz w:val="28"/>
          <w:szCs w:val="28"/>
          <w:lang w:val="uk-UA"/>
        </w:rPr>
        <w:t>ую</w:t>
      </w:r>
      <w:r>
        <w:rPr>
          <w:rFonts w:cs="Times New Roman" w:ascii="Times New Roman" w:hAnsi="Times New Roman"/>
          <w:sz w:val="28"/>
          <w:szCs w:val="28"/>
        </w:rPr>
        <w:t>ть баланс інтересів суб’єктів господарювання, громадян та держави.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Головний архітектор-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начальник відділу архітектури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та інспекції ДАБК</w:t>
        <w:tab/>
        <w:tab/>
        <w:tab/>
        <w:tab/>
        <w:tab/>
        <w:tab/>
        <w:tab/>
        <w:tab/>
        <w:t>В.В. Галанова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2</w:t>
      </w:r>
      <w:r>
        <w:rPr>
          <w:rFonts w:cs="Times New Roman" w:ascii="Times New Roman" w:hAnsi="Times New Roman"/>
          <w:sz w:val="28"/>
          <w:szCs w:val="28"/>
          <w:lang w:val="uk-UA"/>
        </w:rPr>
        <w:t>4</w:t>
      </w:r>
      <w:r>
        <w:rPr>
          <w:rFonts w:cs="Times New Roman" w:ascii="Times New Roman" w:hAnsi="Times New Roman"/>
          <w:sz w:val="28"/>
          <w:szCs w:val="28"/>
          <w:lang w:val="uk-UA"/>
        </w:rPr>
        <w:t>.04.2023</w:t>
      </w:r>
    </w:p>
    <w:sectPr>
      <w:type w:val="nextPage"/>
      <w:pgSz w:w="11906" w:h="16838"/>
      <w:pgMar w:left="1701" w:right="707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053363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fd1d7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uiPriority w:val="99"/>
    <w:semiHidden/>
    <w:unhideWhenUsed/>
    <w:qFormat/>
    <w:rsid w:val="0005336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233d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Application>LibreOffice/7.1.0.3$Windows_X86_64 LibreOffice_project/f6099ecf3d29644b5008cc8f48f42f4a40986e4c</Application>
  <AppVersion>15.0000</AppVersion>
  <Pages>2</Pages>
  <Words>438</Words>
  <Characters>3218</Characters>
  <CharactersWithSpaces>3622</CharactersWithSpaces>
  <Paragraphs>46</Paragraphs>
  <Company>UralSOFT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2020-04-03T07:18:00Z</dcterms:created>
  <dc:creator>digital_PC</dc:creator>
  <dc:description/>
  <dc:language>uk-UA</dc:language>
  <cp:lastModifiedBy/>
  <cp:lastPrinted>2020-04-15T08:55:00Z</cp:lastPrinted>
  <dcterms:modified xsi:type="dcterms:W3CDTF">2023-04-24T10:26:56Z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